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4774" w14:textId="10BF64A5" w:rsidR="00E366E5" w:rsidRDefault="00D0464C" w:rsidP="00D0464C">
      <w:pPr>
        <w:jc w:val="right"/>
        <w:rPr>
          <w:b/>
          <w:bCs/>
        </w:rPr>
      </w:pPr>
      <w:bookmarkStart w:id="0" w:name="_Hlk57646450"/>
      <w:r>
        <w:rPr>
          <w:b/>
          <w:bCs/>
          <w:noProof/>
        </w:rPr>
        <w:drawing>
          <wp:inline distT="0" distB="0" distL="0" distR="0" wp14:anchorId="1489B087" wp14:editId="3ED872F8">
            <wp:extent cx="895985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0F6B3" w14:textId="77777777" w:rsidR="00CD1013" w:rsidRDefault="00CD1013" w:rsidP="00E366E5">
      <w:pPr>
        <w:jc w:val="center"/>
        <w:rPr>
          <w:b/>
          <w:bCs/>
        </w:rPr>
      </w:pPr>
    </w:p>
    <w:p w14:paraId="3423B9C5" w14:textId="7F7C37A6" w:rsidR="00E366E5" w:rsidRPr="00D0464C" w:rsidRDefault="00D0464C" w:rsidP="00D0464C">
      <w:pPr>
        <w:jc w:val="right"/>
        <w:rPr>
          <w:i/>
          <w:iCs/>
        </w:rPr>
      </w:pPr>
      <w:r w:rsidRPr="00D0464C">
        <w:rPr>
          <w:i/>
          <w:iCs/>
        </w:rPr>
        <w:t>Warszawa</w:t>
      </w:r>
      <w:r w:rsidR="00A07F01">
        <w:rPr>
          <w:i/>
          <w:iCs/>
        </w:rPr>
        <w:t xml:space="preserve"> </w:t>
      </w:r>
      <w:r w:rsidR="008E6C2B">
        <w:rPr>
          <w:i/>
          <w:iCs/>
        </w:rPr>
        <w:t>3</w:t>
      </w:r>
      <w:r w:rsidR="00A07F01">
        <w:rPr>
          <w:i/>
          <w:iCs/>
        </w:rPr>
        <w:t xml:space="preserve"> grudnia</w:t>
      </w:r>
      <w:r w:rsidRPr="00D0464C">
        <w:rPr>
          <w:i/>
          <w:iCs/>
        </w:rPr>
        <w:t xml:space="preserve"> 2020 r.</w:t>
      </w:r>
    </w:p>
    <w:p w14:paraId="17DAC6DF" w14:textId="77777777" w:rsidR="00E366E5" w:rsidRDefault="00E366E5" w:rsidP="00E366E5">
      <w:pPr>
        <w:jc w:val="center"/>
        <w:rPr>
          <w:b/>
          <w:bCs/>
        </w:rPr>
      </w:pPr>
    </w:p>
    <w:p w14:paraId="418753EF" w14:textId="26730C42" w:rsidR="005A6269" w:rsidRDefault="004A3EB0" w:rsidP="00A07F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Różnorodność i włączanie: ś</w:t>
      </w:r>
      <w:r w:rsidR="00DC4247" w:rsidRPr="00A07F01">
        <w:rPr>
          <w:b/>
          <w:bCs/>
          <w:sz w:val="24"/>
          <w:szCs w:val="24"/>
        </w:rPr>
        <w:t>wietne miejsce pracy dla niektórych czy dla wszystkich?</w:t>
      </w:r>
    </w:p>
    <w:p w14:paraId="5504FAD5" w14:textId="77777777" w:rsidR="00636D47" w:rsidRPr="00A07F01" w:rsidRDefault="00636D47" w:rsidP="00A07F01">
      <w:pPr>
        <w:jc w:val="center"/>
        <w:rPr>
          <w:b/>
          <w:bCs/>
          <w:sz w:val="24"/>
          <w:szCs w:val="24"/>
        </w:rPr>
      </w:pPr>
    </w:p>
    <w:p w14:paraId="0CA6AD9E" w14:textId="6BD7A815" w:rsidR="00C579AA" w:rsidRPr="00636D47" w:rsidRDefault="00C579AA" w:rsidP="00E366E5">
      <w:pPr>
        <w:jc w:val="both"/>
        <w:rPr>
          <w:b/>
          <w:bCs/>
        </w:rPr>
      </w:pPr>
      <w:r w:rsidRPr="00636D47">
        <w:rPr>
          <w:b/>
          <w:bCs/>
        </w:rPr>
        <w:t>Przemiany społeczne i technologiczne zmieniają środowisko, w jakim działają pojedyncze firmy. Globalizacja powoduje, że są one coraz bardziej ze sobą powiązane. Zderzenie różnorodnych opinii i punktów widzenia stanowić będzie stały kontekst działalności biznesu. Różnorodność pozwala na maksymalizację potencjału poszczególnych pracowników. Musi jej jednak towarzyszyć konsekwencja w tworzeniu miejsca pracy „dla wszystkich”. Organizacje, które odpowiednio szybko to zrozumieją, mają zdecydowanie większe szanse na sukces w przyszłości. Firmy, które zatrzymają się na etapie „dla niektórych”, konkurencji mogą nie przetrwać.</w:t>
      </w:r>
    </w:p>
    <w:p w14:paraId="2E7084E4" w14:textId="77777777" w:rsidR="00E366E5" w:rsidRDefault="00E366E5" w:rsidP="00544C08">
      <w:pPr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4D00C4F" w14:textId="280C8F9F" w:rsidR="00246E8C" w:rsidRPr="00CD1013" w:rsidRDefault="00885D73" w:rsidP="00246E8C">
      <w:pPr>
        <w:rPr>
          <w:b/>
          <w:bCs/>
        </w:rPr>
      </w:pPr>
      <w:r w:rsidRPr="00CD1013">
        <w:rPr>
          <w:b/>
          <w:bCs/>
        </w:rPr>
        <w:t>Sama różnorodn</w:t>
      </w:r>
      <w:r w:rsidR="00CD1013" w:rsidRPr="00CD1013">
        <w:rPr>
          <w:b/>
          <w:bCs/>
        </w:rPr>
        <w:t>ość nie wystarczy</w:t>
      </w:r>
    </w:p>
    <w:p w14:paraId="4A25EB70" w14:textId="4A292620" w:rsidR="00EE50F9" w:rsidRDefault="00FD1DD4" w:rsidP="00885D73">
      <w:pPr>
        <w:jc w:val="both"/>
      </w:pPr>
      <w:r>
        <w:t xml:space="preserve">Różnorodność i włączanie to pojęcia prawie zawsze wymieniane razem. I rzeczywiście, sama </w:t>
      </w:r>
      <w:r w:rsidRPr="00C1547E">
        <w:rPr>
          <w:rFonts w:eastAsia="Times New Roman" w:cstheme="minorHAnsi"/>
          <w:color w:val="000000"/>
          <w:lang w:eastAsia="pl-PL"/>
        </w:rPr>
        <w:t>różnorodność</w:t>
      </w:r>
      <w:r>
        <w:rPr>
          <w:rFonts w:eastAsia="Times New Roman" w:cstheme="minorHAnsi"/>
          <w:color w:val="000000"/>
          <w:lang w:eastAsia="pl-PL"/>
        </w:rPr>
        <w:t>,</w:t>
      </w:r>
      <w:r w:rsidRPr="00C1547E">
        <w:rPr>
          <w:rFonts w:eastAsia="Times New Roman" w:cstheme="minorHAnsi"/>
          <w:color w:val="000000"/>
          <w:lang w:eastAsia="pl-PL"/>
        </w:rPr>
        <w:t xml:space="preserve"> bez </w:t>
      </w:r>
      <w:r>
        <w:rPr>
          <w:rFonts w:eastAsia="Times New Roman" w:cstheme="minorHAnsi"/>
          <w:color w:val="000000"/>
          <w:lang w:eastAsia="pl-PL"/>
        </w:rPr>
        <w:t>włączającej</w:t>
      </w:r>
      <w:r w:rsidRPr="00C1547E">
        <w:rPr>
          <w:rFonts w:eastAsia="Times New Roman" w:cstheme="minorHAnsi"/>
          <w:color w:val="000000"/>
          <w:lang w:eastAsia="pl-PL"/>
        </w:rPr>
        <w:t xml:space="preserve"> kultury organizacyjnej</w:t>
      </w:r>
      <w:r>
        <w:rPr>
          <w:rFonts w:eastAsia="Times New Roman" w:cstheme="minorHAnsi"/>
          <w:color w:val="000000"/>
          <w:lang w:eastAsia="pl-PL"/>
        </w:rPr>
        <w:t>,</w:t>
      </w:r>
      <w:r w:rsidRPr="00C1547E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nie przyniesie firmie wiele korzyści</w:t>
      </w:r>
      <w:r w:rsidR="00A07F01">
        <w:rPr>
          <w:rFonts w:eastAsia="Times New Roman" w:cstheme="minorHAnsi"/>
          <w:color w:val="000000"/>
          <w:lang w:eastAsia="pl-PL"/>
        </w:rPr>
        <w:t>.</w:t>
      </w:r>
      <w:r>
        <w:t xml:space="preserve"> </w:t>
      </w:r>
      <w:r w:rsidR="006644E5">
        <w:t xml:space="preserve">Kiedy mówimy o różnorodności, myślimy przede wszystkim o określonej reprezentacji w zespole osób różniących się od siebie płcią, wiekiem, narodowością czy orientacją seksualną. </w:t>
      </w:r>
      <w:r w:rsidR="00F30735">
        <w:t>Statystycznie różnorodne miejsce pracy nie oznacza</w:t>
      </w:r>
      <w:r w:rsidR="00DB3C99">
        <w:t xml:space="preserve"> jednak</w:t>
      </w:r>
      <w:r w:rsidR="00F30735">
        <w:t xml:space="preserve">, że mamy do czynienia ze środowiskiem prawdziwie integrującym wszystkie grupy pracowników. </w:t>
      </w:r>
      <w:r w:rsidR="00EE50F9">
        <w:t>Trudno mówić o prawdziwej integracji, jeśli w</w:t>
      </w:r>
      <w:r w:rsidR="00D0464C">
        <w:t> </w:t>
      </w:r>
      <w:r w:rsidR="00EE50F9">
        <w:t>firmie zatru</w:t>
      </w:r>
      <w:r w:rsidR="003E2438">
        <w:t>d</w:t>
      </w:r>
      <w:r w:rsidR="00EE50F9">
        <w:t>ni</w:t>
      </w:r>
      <w:r w:rsidR="00F30735">
        <w:t>eni są</w:t>
      </w:r>
      <w:r w:rsidR="00EE50F9">
        <w:t xml:space="preserve"> co prawda przedstawiciel</w:t>
      </w:r>
      <w:r w:rsidR="00F30735">
        <w:t>e</w:t>
      </w:r>
      <w:r w:rsidR="00EE50F9">
        <w:t xml:space="preserve"> różnych grup </w:t>
      </w:r>
      <w:r w:rsidR="00412DB2">
        <w:t xml:space="preserve">demograficznych, </w:t>
      </w:r>
      <w:r w:rsidR="003E2438">
        <w:t xml:space="preserve">ale punkt widzenia tylko </w:t>
      </w:r>
      <w:r w:rsidR="00C52DBF">
        <w:t>niektórych z n</w:t>
      </w:r>
      <w:r w:rsidR="00D363BB">
        <w:t xml:space="preserve">ich </w:t>
      </w:r>
      <w:r w:rsidR="003E2438">
        <w:t>jest brany pod uwagę i ma realny wpływ ma politykę przedsiębiorstwa.</w:t>
      </w:r>
    </w:p>
    <w:p w14:paraId="17E564C7" w14:textId="6EE8C3AA" w:rsidR="00F30735" w:rsidRDefault="003E2438" w:rsidP="00885D73">
      <w:pPr>
        <w:jc w:val="both"/>
      </w:pPr>
      <w:r>
        <w:t xml:space="preserve">Prostym testem, aby uzyskać </w:t>
      </w:r>
      <w:r w:rsidR="00F30735">
        <w:t>wiedzę</w:t>
      </w:r>
      <w:r w:rsidR="00D3595F">
        <w:t>,</w:t>
      </w:r>
      <w:r>
        <w:t xml:space="preserve"> czy firma jest rzeczywiście różnorodnym i włączającym miejscem pracy jest </w:t>
      </w:r>
      <w:r w:rsidR="00C52DBF">
        <w:t>zestawienie dwóch kwestii: jak duża jest reprezentacja danej grupy, ale także</w:t>
      </w:r>
      <w:r w:rsidR="00D8468C">
        <w:t>,</w:t>
      </w:r>
      <w:r w:rsidR="00C52DBF">
        <w:t xml:space="preserve"> w </w:t>
      </w:r>
      <w:r w:rsidR="00885D73">
        <w:t xml:space="preserve">jakich </w:t>
      </w:r>
      <w:r w:rsidR="00C52DBF">
        <w:t>dzia</w:t>
      </w:r>
      <w:r w:rsidR="00885D73">
        <w:t>łach firmy</w:t>
      </w:r>
      <w:r w:rsidR="00C52DBF">
        <w:t xml:space="preserve"> jest ich wyjątkowo dużo. </w:t>
      </w:r>
      <w:r w:rsidR="00885D73">
        <w:t xml:space="preserve">Firma, która promuje </w:t>
      </w:r>
      <w:r w:rsidR="00C52DBF">
        <w:t>rów</w:t>
      </w:r>
      <w:r w:rsidR="00885D73">
        <w:t>ność</w:t>
      </w:r>
      <w:r w:rsidR="00C52DBF">
        <w:t xml:space="preserve"> zatrudnienia kobiet i mężczyzn </w:t>
      </w:r>
      <w:r w:rsidR="00885D73">
        <w:t>nie powinna zadowolić się jedynie</w:t>
      </w:r>
      <w:r w:rsidR="00D8468C">
        <w:t xml:space="preserve"> suchą</w:t>
      </w:r>
      <w:r w:rsidR="00885D73">
        <w:t xml:space="preserve"> statystyką, że </w:t>
      </w:r>
      <w:r w:rsidR="00C52DBF">
        <w:t>k</w:t>
      </w:r>
      <w:r>
        <w:t>obiety stanowią 50% zatrudnionych</w:t>
      </w:r>
      <w:r w:rsidR="00885D73">
        <w:t>.</w:t>
      </w:r>
      <w:r>
        <w:t xml:space="preserve"> </w:t>
      </w:r>
      <w:r w:rsidR="00885D73">
        <w:t>Znacznie ważniejsze jest, na jakich stanowiskach pracują, jak są wynagradzane, a także</w:t>
      </w:r>
      <w:r w:rsidR="00D8468C">
        <w:t>,</w:t>
      </w:r>
      <w:r>
        <w:t xml:space="preserve"> </w:t>
      </w:r>
      <w:r w:rsidR="00C86C94">
        <w:t>jaki procent kobiet</w:t>
      </w:r>
      <w:r>
        <w:t xml:space="preserve"> </w:t>
      </w:r>
      <w:r w:rsidR="00885D73">
        <w:t xml:space="preserve">jest zatrudnionych na </w:t>
      </w:r>
      <w:r>
        <w:t>kierownicz</w:t>
      </w:r>
      <w:r w:rsidR="00885D73">
        <w:t>ych</w:t>
      </w:r>
      <w:r>
        <w:t xml:space="preserve"> </w:t>
      </w:r>
      <w:r w:rsidR="00C86C94">
        <w:t>stanowisk</w:t>
      </w:r>
      <w:r w:rsidR="00885D73">
        <w:t xml:space="preserve">ach. </w:t>
      </w:r>
      <w:r w:rsidR="008D5550">
        <w:t>Włączanie zatem to coś o wiele bardziej istotnego. Mówi nam o tym, czy i jak potrafimy docenić nie tylko samą obecność, ale i potencjał pracowników reprezentujących różne środowiska.</w:t>
      </w:r>
    </w:p>
    <w:p w14:paraId="2D9EB6FC" w14:textId="3CDEA702" w:rsidR="00246E8C" w:rsidRDefault="00246E8C"/>
    <w:p w14:paraId="44B9B9D0" w14:textId="5948F37E" w:rsidR="00246E8C" w:rsidRPr="00CD1013" w:rsidRDefault="00246E8C">
      <w:pPr>
        <w:rPr>
          <w:b/>
          <w:bCs/>
        </w:rPr>
      </w:pPr>
      <w:r w:rsidRPr="00CD1013">
        <w:rPr>
          <w:b/>
          <w:bCs/>
        </w:rPr>
        <w:t xml:space="preserve">Dlaczego warto </w:t>
      </w:r>
      <w:r w:rsidR="00DC4247">
        <w:rPr>
          <w:b/>
          <w:bCs/>
        </w:rPr>
        <w:t>budować włączającą organizację</w:t>
      </w:r>
    </w:p>
    <w:p w14:paraId="2A0F1D72" w14:textId="04EB6DF0" w:rsidR="00246E8C" w:rsidRDefault="00246E8C" w:rsidP="00153748">
      <w:pPr>
        <w:jc w:val="both"/>
      </w:pPr>
      <w:r w:rsidRPr="00A07F01">
        <w:rPr>
          <w:color w:val="000000" w:themeColor="text1"/>
        </w:rPr>
        <w:t>Badania Great Place to Work</w:t>
      </w:r>
      <w:r w:rsidR="00CD1013" w:rsidRPr="00A07F01">
        <w:rPr>
          <w:rFonts w:cstheme="minorHAnsi"/>
          <w:color w:val="000000" w:themeColor="text1"/>
        </w:rPr>
        <w:t>®</w:t>
      </w:r>
      <w:r w:rsidRPr="00A07F01">
        <w:rPr>
          <w:color w:val="000000" w:themeColor="text1"/>
        </w:rPr>
        <w:t xml:space="preserve"> dowodzą, że firm</w:t>
      </w:r>
      <w:r w:rsidR="00CD1013" w:rsidRPr="00A07F01">
        <w:rPr>
          <w:color w:val="000000" w:themeColor="text1"/>
        </w:rPr>
        <w:t>y</w:t>
      </w:r>
      <w:r w:rsidRPr="00A07F01">
        <w:rPr>
          <w:color w:val="000000" w:themeColor="text1"/>
        </w:rPr>
        <w:t xml:space="preserve">, które dbają o różnorodność i potrafią </w:t>
      </w:r>
      <w:r w:rsidR="00CD1013" w:rsidRPr="00A07F01">
        <w:rPr>
          <w:color w:val="000000" w:themeColor="text1"/>
        </w:rPr>
        <w:t>skutecznie z</w:t>
      </w:r>
      <w:r w:rsidRPr="00A07F01">
        <w:rPr>
          <w:color w:val="000000" w:themeColor="text1"/>
        </w:rPr>
        <w:t xml:space="preserve">integrować </w:t>
      </w:r>
      <w:r w:rsidR="00CD1013" w:rsidRPr="00A07F01">
        <w:rPr>
          <w:color w:val="000000" w:themeColor="text1"/>
        </w:rPr>
        <w:t xml:space="preserve">cały </w:t>
      </w:r>
      <w:r w:rsidRPr="00A07F01">
        <w:rPr>
          <w:color w:val="000000" w:themeColor="text1"/>
        </w:rPr>
        <w:t xml:space="preserve">zespół osiągają wyższy wzrost przychodów. </w:t>
      </w:r>
      <w:r w:rsidR="00CD1013" w:rsidRPr="00A07F01">
        <w:rPr>
          <w:rFonts w:eastAsia="Times New Roman" w:cstheme="minorHAnsi"/>
          <w:color w:val="000000" w:themeColor="text1"/>
          <w:lang w:eastAsia="pl-PL"/>
        </w:rPr>
        <w:t>W zróżnicowanym środowisku pracy powstaje więcej nowych pomysłów, wzrasta poziom kreatywności i innowacyjności.</w:t>
      </w:r>
      <w:r w:rsidRPr="00A07F01">
        <w:rPr>
          <w:color w:val="000000" w:themeColor="text1"/>
        </w:rPr>
        <w:t xml:space="preserve"> </w:t>
      </w:r>
      <w:r w:rsidR="009A4949" w:rsidRPr="009A4949">
        <w:t xml:space="preserve">Jak podkreśla </w:t>
      </w:r>
      <w:r w:rsidR="009A4949" w:rsidRPr="00DC4247">
        <w:t>Matt Bush,</w:t>
      </w:r>
      <w:r w:rsidR="009A4949" w:rsidRPr="00DC4247">
        <w:rPr>
          <w:i/>
          <w:iCs/>
        </w:rPr>
        <w:t xml:space="preserve"> Culture Coaching Lead </w:t>
      </w:r>
      <w:r w:rsidR="009A4949" w:rsidRPr="00DC4247">
        <w:t>w amerykańskim zespole Great Place to Work</w:t>
      </w:r>
      <w:r w:rsidR="009A4949" w:rsidRPr="00DC4247">
        <w:rPr>
          <w:rFonts w:cstheme="minorHAnsi"/>
          <w:sz w:val="20"/>
          <w:szCs w:val="20"/>
        </w:rPr>
        <w:t>®</w:t>
      </w:r>
      <w:r w:rsidR="009A4949" w:rsidRPr="009A4949">
        <w:t>,</w:t>
      </w:r>
      <w:r w:rsidR="009A4949">
        <w:t xml:space="preserve"> w</w:t>
      </w:r>
      <w:r w:rsidR="00153748">
        <w:t xml:space="preserve">łączająca kultura </w:t>
      </w:r>
      <w:r w:rsidR="00153748">
        <w:lastRenderedPageBreak/>
        <w:t>miejsca pracy nie tylko pomaga w przyciąganiu nowych talentów, ale także w ich utrzymaniu w</w:t>
      </w:r>
      <w:r w:rsidR="00D0464C">
        <w:t> </w:t>
      </w:r>
      <w:r w:rsidR="00153748">
        <w:t>zespole. K</w:t>
      </w:r>
      <w:r w:rsidR="003B6423">
        <w:t>iedy pracownicy mają zaufanie, że oni sami i ich koledzy będą traktowani fair bez względu na wiek, płeć, kolor skóry</w:t>
      </w:r>
      <w:r w:rsidR="00153748">
        <w:t xml:space="preserve"> czy</w:t>
      </w:r>
      <w:r w:rsidR="003B6423">
        <w:t xml:space="preserve"> narodowość</w:t>
      </w:r>
      <w:r w:rsidR="00636D47">
        <w:t>,</w:t>
      </w:r>
      <w:r w:rsidR="000B59CA">
        <w:t xml:space="preserve"> prawie dziesięciokrotnie rośnie </w:t>
      </w:r>
      <w:r w:rsidR="003B6423">
        <w:t xml:space="preserve">prawdopodobieństwo, że </w:t>
      </w:r>
      <w:r w:rsidR="00D25449">
        <w:t xml:space="preserve">chętnie będą przychodzić do pracy, a </w:t>
      </w:r>
      <w:r w:rsidR="000B59CA">
        <w:t xml:space="preserve">ponad pięciokrotnie, </w:t>
      </w:r>
      <w:r w:rsidR="00D25449">
        <w:t>że</w:t>
      </w:r>
      <w:r w:rsidR="008063EC">
        <w:t xml:space="preserve"> </w:t>
      </w:r>
      <w:r w:rsidR="003B6423">
        <w:t xml:space="preserve">będą chcieli </w:t>
      </w:r>
      <w:r w:rsidR="00153748">
        <w:t>związać swoje losy z firmą na dłużej</w:t>
      </w:r>
      <w:r w:rsidR="000B59CA">
        <w:t>.</w:t>
      </w:r>
    </w:p>
    <w:p w14:paraId="3244276B" w14:textId="65A0A3B9" w:rsidR="00153748" w:rsidRDefault="00153748" w:rsidP="00795169">
      <w:pPr>
        <w:jc w:val="both"/>
      </w:pPr>
      <w:r>
        <w:t xml:space="preserve">Polityka różnorodności i włączania jest szczególnie doceniana przez pokolenie milenialsów. Z ich perspektywy </w:t>
      </w:r>
      <w:r w:rsidR="00795169">
        <w:t>tym</w:t>
      </w:r>
      <w:r w:rsidR="0044679E">
        <w:t>,</w:t>
      </w:r>
      <w:r w:rsidR="00795169">
        <w:t xml:space="preserve"> co stanowi o przyjaznym</w:t>
      </w:r>
      <w:r w:rsidR="00636D47">
        <w:t xml:space="preserve"> i</w:t>
      </w:r>
      <w:r w:rsidR="00795169">
        <w:t xml:space="preserve"> gwarantującym rozwój miejsc</w:t>
      </w:r>
      <w:r w:rsidR="003756E5">
        <w:t>u</w:t>
      </w:r>
      <w:r w:rsidR="00795169">
        <w:t xml:space="preserve"> pracy </w:t>
      </w:r>
      <w:r>
        <w:t>jest kultura współpracy</w:t>
      </w:r>
      <w:r w:rsidR="00795169">
        <w:t xml:space="preserve">. </w:t>
      </w:r>
      <w:r w:rsidR="003756E5">
        <w:t>Wysoko cenią sobie firmy</w:t>
      </w:r>
      <w:r w:rsidR="00795169">
        <w:t>, gdzie szanuje się każdego za jego indywidualny wkład i gdzie każdy, bez względu na staż i stanowisko, ma możliwość wyrażenia swojej opinii i przyczynienia się do sukcesu zespołu.</w:t>
      </w:r>
      <w:r w:rsidR="002E1644">
        <w:t xml:space="preserve"> </w:t>
      </w:r>
    </w:p>
    <w:p w14:paraId="78A04A8D" w14:textId="464F2654" w:rsidR="00044FDE" w:rsidRDefault="00044FDE" w:rsidP="00795169">
      <w:pPr>
        <w:jc w:val="both"/>
      </w:pPr>
      <w:r>
        <w:t>Dodatkow</w:t>
      </w:r>
      <w:r w:rsidR="00F30318">
        <w:t>e</w:t>
      </w:r>
      <w:r>
        <w:t xml:space="preserve"> argument</w:t>
      </w:r>
      <w:r w:rsidR="00F30318">
        <w:t>y</w:t>
      </w:r>
      <w:r>
        <w:t xml:space="preserve"> „za” polityką różnorodności i włączania przyniosła obecna pandemia koronawirusa. </w:t>
      </w:r>
      <w:r w:rsidR="00D8468C">
        <w:t>W wielu firmach z</w:t>
      </w:r>
      <w:r>
        <w:t xml:space="preserve"> dnia na dzień</w:t>
      </w:r>
      <w:r w:rsidR="00F30318">
        <w:t xml:space="preserve"> </w:t>
      </w:r>
      <w:r w:rsidR="006B1A5F">
        <w:t>zerwaniu uległy relacje i rytuały, które tworzyły atmosferę miejsca pracy</w:t>
      </w:r>
      <w:r w:rsidR="00AA33F8">
        <w:t xml:space="preserve">. W </w:t>
      </w:r>
      <w:r w:rsidR="00D8468C">
        <w:t>równie awaryjnym trybie firmy te musiały dostosować się do nowej sytuacji</w:t>
      </w:r>
      <w:r w:rsidR="006B1A5F">
        <w:t xml:space="preserve">. </w:t>
      </w:r>
      <w:r w:rsidR="008023B2">
        <w:t>Organizacjom, które zadbały odpowiednio wcześniej, aby każdy pracownik czuł się pełnoprawną i integralną częścią firmy, łatwiej obecnie utrzymać motywację i zaangażowanie w</w:t>
      </w:r>
      <w:r w:rsidR="00D0464C">
        <w:t> </w:t>
      </w:r>
      <w:r w:rsidR="008023B2">
        <w:t xml:space="preserve">zespole. </w:t>
      </w:r>
      <w:r w:rsidR="00D8468C">
        <w:t xml:space="preserve">Procentuje także </w:t>
      </w:r>
      <w:r w:rsidR="00B06BBE">
        <w:t xml:space="preserve">model działania, </w:t>
      </w:r>
      <w:r w:rsidR="0044679E">
        <w:t>który stawia</w:t>
      </w:r>
      <w:r w:rsidR="00B06BBE">
        <w:t xml:space="preserve"> na wzajemne zaufanie i swobodę w</w:t>
      </w:r>
      <w:r w:rsidR="00D0464C">
        <w:t> </w:t>
      </w:r>
      <w:r w:rsidR="00B06BBE">
        <w:t xml:space="preserve">zarządzaniu pracą. Tam, gdzie elastyczne godziny czy praca zdalna były powszechną praktyką, łatwiej </w:t>
      </w:r>
      <w:r w:rsidR="00AA33F8">
        <w:t>przyszło</w:t>
      </w:r>
      <w:r w:rsidR="00B06BBE">
        <w:t xml:space="preserve"> dostosować się </w:t>
      </w:r>
      <w:r w:rsidR="002E4C57">
        <w:t xml:space="preserve">do </w:t>
      </w:r>
      <w:r w:rsidR="00B43CB1">
        <w:t>koronakryzysu</w:t>
      </w:r>
      <w:r w:rsidR="002E4C57">
        <w:t>.</w:t>
      </w:r>
    </w:p>
    <w:p w14:paraId="657E4253" w14:textId="77777777" w:rsidR="00A07F01" w:rsidRDefault="00A07F01" w:rsidP="00795169">
      <w:pPr>
        <w:jc w:val="both"/>
      </w:pPr>
    </w:p>
    <w:p w14:paraId="7D739D65" w14:textId="23E293DC" w:rsidR="001E1181" w:rsidRPr="00A07F01" w:rsidRDefault="00A07F01">
      <w:pPr>
        <w:rPr>
          <w:b/>
          <w:bCs/>
        </w:rPr>
      </w:pPr>
      <w:r w:rsidRPr="00A07F01">
        <w:rPr>
          <w:b/>
          <w:bCs/>
        </w:rPr>
        <w:t>Złoty standard świetnego miejsca pracy</w:t>
      </w:r>
    </w:p>
    <w:p w14:paraId="52B9E498" w14:textId="75523F37" w:rsidR="008D058F" w:rsidRPr="00636D47" w:rsidRDefault="001E1181" w:rsidP="003756E5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AD7C19">
        <w:rPr>
          <w:rFonts w:cstheme="minorHAnsi"/>
          <w:color w:val="000000" w:themeColor="text1"/>
        </w:rPr>
        <w:t>„For All</w:t>
      </w:r>
      <w:r w:rsidR="000A6AAE" w:rsidRPr="00AD7C19">
        <w:rPr>
          <w:rFonts w:cstheme="minorHAnsi"/>
          <w:color w:val="000000" w:themeColor="text1"/>
        </w:rPr>
        <w:t>™</w:t>
      </w:r>
      <w:r w:rsidRPr="00AD7C19">
        <w:rPr>
          <w:rFonts w:cstheme="minorHAnsi"/>
          <w:color w:val="000000" w:themeColor="text1"/>
        </w:rPr>
        <w:t xml:space="preserve">” to </w:t>
      </w:r>
      <w:r w:rsidR="008B3FB3" w:rsidRPr="00AD7C19">
        <w:rPr>
          <w:rFonts w:cstheme="minorHAnsi"/>
          <w:color w:val="000000" w:themeColor="text1"/>
        </w:rPr>
        <w:t xml:space="preserve">ważny element metodologii badań Great Place to Work®. </w:t>
      </w:r>
      <w:r w:rsidR="008B3FB3" w:rsidRPr="00636D47">
        <w:rPr>
          <w:rFonts w:eastAsia="Times New Roman" w:cstheme="minorHAnsi"/>
          <w:color w:val="000000" w:themeColor="text1"/>
          <w:spacing w:val="-3"/>
          <w:lang w:eastAsia="pl-PL"/>
        </w:rPr>
        <w:t xml:space="preserve">Stanowi rozwinięcie modelu zaufania i pozwala upewnić się, że każdy pracownik – bez względu na to, kim jest i co robi dla swojej firmy – ocenia swoje doświadczenia w pracy jako pozytywne. </w:t>
      </w:r>
      <w:r w:rsidR="00DA013B" w:rsidRPr="00636D47">
        <w:rPr>
          <w:rFonts w:eastAsia="Times New Roman" w:cstheme="minorHAnsi"/>
          <w:color w:val="000000" w:themeColor="text1"/>
          <w:spacing w:val="-3"/>
          <w:lang w:eastAsia="pl-PL"/>
        </w:rPr>
        <w:t xml:space="preserve">Jednocześnie </w:t>
      </w:r>
      <w:r w:rsidR="00DA013B" w:rsidRPr="00636D47">
        <w:rPr>
          <w:rFonts w:cstheme="minorHAnsi"/>
          <w:color w:val="000000" w:themeColor="text1"/>
        </w:rPr>
        <w:t>k</w:t>
      </w:r>
      <w:r w:rsidR="008D058F" w:rsidRPr="00636D47">
        <w:rPr>
          <w:rFonts w:cstheme="minorHAnsi"/>
          <w:color w:val="000000" w:themeColor="text1"/>
        </w:rPr>
        <w:t xml:space="preserve">rótko i precyzyjnie ujmuje, co jest kluczowym celem polityki różnorodności i włączania. </w:t>
      </w:r>
      <w:r w:rsidR="00DA013B" w:rsidRPr="00636D47">
        <w:rPr>
          <w:rFonts w:cstheme="minorHAnsi"/>
          <w:color w:val="000000" w:themeColor="text1"/>
        </w:rPr>
        <w:t>Dzięki temu</w:t>
      </w:r>
      <w:r w:rsidR="00B76E98" w:rsidRPr="00636D47">
        <w:rPr>
          <w:rFonts w:cstheme="minorHAnsi"/>
          <w:color w:val="000000" w:themeColor="text1"/>
        </w:rPr>
        <w:t>,</w:t>
      </w:r>
      <w:r w:rsidR="00DA013B" w:rsidRPr="00636D47">
        <w:rPr>
          <w:rFonts w:cstheme="minorHAnsi"/>
          <w:color w:val="000000" w:themeColor="text1"/>
        </w:rPr>
        <w:t xml:space="preserve"> p</w:t>
      </w:r>
      <w:r w:rsidR="008D058F" w:rsidRPr="00636D47">
        <w:rPr>
          <w:rFonts w:cstheme="minorHAnsi"/>
          <w:color w:val="000000" w:themeColor="text1"/>
        </w:rPr>
        <w:t xml:space="preserve">odejście </w:t>
      </w:r>
      <w:r w:rsidR="00EB4C83" w:rsidRPr="00636D47">
        <w:rPr>
          <w:rFonts w:cstheme="minorHAnsi"/>
          <w:color w:val="000000" w:themeColor="text1"/>
        </w:rPr>
        <w:t>„</w:t>
      </w:r>
      <w:r w:rsidR="008D058F" w:rsidRPr="00636D47">
        <w:rPr>
          <w:rFonts w:cstheme="minorHAnsi"/>
          <w:color w:val="000000" w:themeColor="text1"/>
        </w:rPr>
        <w:t>For All™</w:t>
      </w:r>
      <w:r w:rsidR="00EB4C83" w:rsidRPr="00636D47">
        <w:rPr>
          <w:rFonts w:cstheme="minorHAnsi"/>
          <w:color w:val="000000" w:themeColor="text1"/>
        </w:rPr>
        <w:t>”</w:t>
      </w:r>
      <w:r w:rsidR="008D058F" w:rsidRPr="00636D47">
        <w:rPr>
          <w:rFonts w:cstheme="minorHAnsi"/>
          <w:color w:val="000000" w:themeColor="text1"/>
        </w:rPr>
        <w:t xml:space="preserve"> i stojące za nim badani</w:t>
      </w:r>
      <w:r w:rsidR="001E4E34" w:rsidRPr="00636D47">
        <w:rPr>
          <w:rFonts w:cstheme="minorHAnsi"/>
          <w:color w:val="000000" w:themeColor="text1"/>
        </w:rPr>
        <w:t>a</w:t>
      </w:r>
      <w:r w:rsidR="008D058F" w:rsidRPr="00636D47">
        <w:rPr>
          <w:rFonts w:cstheme="minorHAnsi"/>
          <w:color w:val="000000" w:themeColor="text1"/>
        </w:rPr>
        <w:t xml:space="preserve"> ankietowe </w:t>
      </w:r>
      <w:r w:rsidR="00256081" w:rsidRPr="00636D47">
        <w:rPr>
          <w:rFonts w:eastAsia="Times New Roman" w:cstheme="minorHAnsi"/>
          <w:color w:val="000000" w:themeColor="text1"/>
          <w:spacing w:val="-3"/>
          <w:lang w:eastAsia="pl-PL"/>
        </w:rPr>
        <w:t>doskonale nadaj</w:t>
      </w:r>
      <w:r w:rsidR="00EA70C7" w:rsidRPr="00636D47">
        <w:rPr>
          <w:rFonts w:eastAsia="Times New Roman" w:cstheme="minorHAnsi"/>
          <w:color w:val="000000" w:themeColor="text1"/>
          <w:spacing w:val="-3"/>
          <w:lang w:eastAsia="pl-PL"/>
        </w:rPr>
        <w:t>ą</w:t>
      </w:r>
      <w:r w:rsidR="00256081" w:rsidRPr="00636D47">
        <w:rPr>
          <w:rFonts w:eastAsia="Times New Roman" w:cstheme="minorHAnsi"/>
          <w:color w:val="000000" w:themeColor="text1"/>
          <w:spacing w:val="-3"/>
          <w:lang w:eastAsia="pl-PL"/>
        </w:rPr>
        <w:t xml:space="preserve"> się do monitorowania poziomu zaawansowania </w:t>
      </w:r>
      <w:r w:rsidR="00256081" w:rsidRPr="00636D47">
        <w:rPr>
          <w:rFonts w:cstheme="minorHAnsi"/>
          <w:color w:val="000000" w:themeColor="text1"/>
          <w:shd w:val="clear" w:color="auto" w:fill="FFFFFF"/>
        </w:rPr>
        <w:t>firmy w procesie budowania w</w:t>
      </w:r>
      <w:r w:rsidR="00256081" w:rsidRPr="00636D47">
        <w:rPr>
          <w:rFonts w:cstheme="minorHAnsi" w:hint="eastAsia"/>
          <w:color w:val="000000" w:themeColor="text1"/>
          <w:shd w:val="clear" w:color="auto" w:fill="FFFFFF"/>
        </w:rPr>
        <w:t>łą</w:t>
      </w:r>
      <w:r w:rsidR="00256081" w:rsidRPr="00636D47">
        <w:rPr>
          <w:rFonts w:cstheme="minorHAnsi"/>
          <w:color w:val="000000" w:themeColor="text1"/>
          <w:shd w:val="clear" w:color="auto" w:fill="FFFFFF"/>
        </w:rPr>
        <w:t>czaj</w:t>
      </w:r>
      <w:r w:rsidR="00256081" w:rsidRPr="00636D47">
        <w:rPr>
          <w:rFonts w:cstheme="minorHAnsi" w:hint="eastAsia"/>
          <w:color w:val="000000" w:themeColor="text1"/>
          <w:shd w:val="clear" w:color="auto" w:fill="FFFFFF"/>
        </w:rPr>
        <w:t>ą</w:t>
      </w:r>
      <w:r w:rsidR="00256081" w:rsidRPr="00636D47">
        <w:rPr>
          <w:rFonts w:cstheme="minorHAnsi"/>
          <w:color w:val="000000" w:themeColor="text1"/>
          <w:shd w:val="clear" w:color="auto" w:fill="FFFFFF"/>
        </w:rPr>
        <w:t>cej organizacji</w:t>
      </w:r>
      <w:r w:rsidR="008D058F" w:rsidRPr="00636D47">
        <w:rPr>
          <w:rFonts w:cstheme="minorHAnsi"/>
          <w:color w:val="000000" w:themeColor="text1"/>
          <w:shd w:val="clear" w:color="auto" w:fill="FFFFFF"/>
        </w:rPr>
        <w:t>.</w:t>
      </w:r>
    </w:p>
    <w:p w14:paraId="6FF1C60E" w14:textId="0DDCDCB2" w:rsidR="00E3286A" w:rsidRPr="00095E5F" w:rsidRDefault="00095E5F" w:rsidP="003756E5">
      <w:pPr>
        <w:jc w:val="both"/>
        <w:rPr>
          <w:rFonts w:cstheme="minorHAnsi"/>
          <w:color w:val="000000" w:themeColor="text1"/>
        </w:rPr>
      </w:pPr>
      <w:bookmarkStart w:id="1" w:name="_Hlk57816759"/>
      <w:r>
        <w:rPr>
          <w:i/>
          <w:iCs/>
        </w:rPr>
        <w:t>„</w:t>
      </w:r>
      <w:r w:rsidR="00A02CE3" w:rsidRPr="0049379B">
        <w:rPr>
          <w:i/>
          <w:iCs/>
        </w:rPr>
        <w:t xml:space="preserve">Pracodawcy bardzo chętnie deklarują </w:t>
      </w:r>
      <w:r w:rsidR="0049379B" w:rsidRPr="0049379B">
        <w:rPr>
          <w:i/>
          <w:iCs/>
        </w:rPr>
        <w:t xml:space="preserve">na przykład </w:t>
      </w:r>
      <w:r w:rsidR="00A02CE3" w:rsidRPr="0049379B">
        <w:rPr>
          <w:i/>
          <w:iCs/>
        </w:rPr>
        <w:t>politykę równych szans dla kobiet i mężczyzn, ale wciąż zbyt mało firm decyduje się na kolejny krok w postaci pełnego wdrożenia konkretnej strategii</w:t>
      </w:r>
      <w:r w:rsidR="0049379B" w:rsidRPr="0049379B">
        <w:rPr>
          <w:i/>
          <w:iCs/>
        </w:rPr>
        <w:t>.</w:t>
      </w:r>
      <w:r w:rsidR="00A02CE3" w:rsidRPr="0049379B">
        <w:rPr>
          <w:i/>
          <w:iCs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Kiedy liderzy chcą szybko wyrobić sobie zdanie na temat wyników</w:t>
      </w:r>
      <w:r w:rsidR="00E3286A" w:rsidRPr="0049379B">
        <w:rPr>
          <w:rStyle w:val="ts-alignment-element"/>
          <w:rFonts w:cstheme="minorHAnsi"/>
          <w:i/>
          <w:iCs/>
          <w:color w:val="000000" w:themeColor="text1"/>
        </w:rPr>
        <w:t xml:space="preserve"> ankiety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 xml:space="preserve">, często skupiają się na średnich uzyskanych </w:t>
      </w:r>
      <w:r w:rsidR="00AD56EF" w:rsidRPr="0049379B">
        <w:rPr>
          <w:rStyle w:val="ts-alignment-element"/>
          <w:rFonts w:cstheme="minorHAnsi"/>
          <w:i/>
          <w:iCs/>
          <w:color w:val="000000" w:themeColor="text1"/>
        </w:rPr>
        <w:t xml:space="preserve">dla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całej firmy. Za tymi średnimi mogą jednak stać zupełnie różne rzeczywistości. Organizacja, w której mężczyźni deklarują swoje pozytywne doświadczenia w miejscu pracy na poziomie 90%, a kobiety 50%, na pierwszy rzut oka wygląda tak samo jak organizacja, w</w:t>
      </w:r>
      <w:r w:rsidR="008D058F" w:rsidRPr="0049379B">
        <w:rPr>
          <w:rFonts w:cstheme="minorHAnsi"/>
          <w:i/>
          <w:iCs/>
          <w:color w:val="000000" w:themeColor="text1"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której</w:t>
      </w:r>
      <w:r w:rsidR="008D058F" w:rsidRPr="0049379B">
        <w:rPr>
          <w:rFonts w:cstheme="minorHAnsi"/>
          <w:i/>
          <w:iCs/>
          <w:color w:val="000000" w:themeColor="text1"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każda z</w:t>
      </w:r>
      <w:r w:rsidR="00636D47" w:rsidRPr="0049379B">
        <w:rPr>
          <w:rStyle w:val="ts-alignment-element"/>
          <w:rFonts w:cstheme="minorHAnsi"/>
          <w:i/>
          <w:iCs/>
          <w:color w:val="000000" w:themeColor="text1"/>
        </w:rPr>
        <w:t> 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 xml:space="preserve">grup </w:t>
      </w:r>
      <w:r w:rsidR="008D058F" w:rsidRPr="0049379B">
        <w:rPr>
          <w:rFonts w:cstheme="minorHAnsi"/>
          <w:i/>
          <w:iCs/>
          <w:color w:val="000000" w:themeColor="text1"/>
        </w:rPr>
        <w:t xml:space="preserve">udziela w ankiecie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70% pozytywnych odpowiedzi. Pierwsza organizacja ma oczywiście poważne problemy do rozwiązania. Choć tak duże skrajności w praktyce raczej się nie zdarzają, prawie</w:t>
      </w:r>
      <w:r w:rsidR="008D058F" w:rsidRPr="0049379B">
        <w:rPr>
          <w:rFonts w:cstheme="minorHAnsi"/>
          <w:i/>
          <w:iCs/>
          <w:color w:val="000000" w:themeColor="text1"/>
        </w:rPr>
        <w:t xml:space="preserve"> w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każdej</w:t>
      </w:r>
      <w:r w:rsidR="008D058F" w:rsidRPr="0049379B">
        <w:rPr>
          <w:rFonts w:cstheme="minorHAnsi"/>
          <w:i/>
          <w:iCs/>
          <w:color w:val="000000" w:themeColor="text1"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organizacji</w:t>
      </w:r>
      <w:r w:rsidR="008D058F" w:rsidRPr="0049379B">
        <w:rPr>
          <w:rFonts w:cstheme="minorHAnsi"/>
          <w:i/>
          <w:iCs/>
          <w:color w:val="000000" w:themeColor="text1"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można zidentyfikować</w:t>
      </w:r>
      <w:r w:rsidR="008D058F" w:rsidRPr="0049379B">
        <w:rPr>
          <w:rFonts w:cstheme="minorHAnsi"/>
          <w:i/>
          <w:iCs/>
          <w:color w:val="000000" w:themeColor="text1"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luki</w:t>
      </w:r>
      <w:r w:rsidR="008D058F" w:rsidRPr="0049379B">
        <w:rPr>
          <w:rFonts w:cstheme="minorHAnsi"/>
          <w:i/>
          <w:iCs/>
          <w:color w:val="000000" w:themeColor="text1"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w</w:t>
      </w:r>
      <w:r w:rsidR="008D058F" w:rsidRPr="0049379B">
        <w:rPr>
          <w:rFonts w:cstheme="minorHAnsi"/>
          <w:i/>
          <w:iCs/>
          <w:color w:val="000000" w:themeColor="text1"/>
        </w:rPr>
        <w:t xml:space="preserve">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 xml:space="preserve">doświadczeniu niektórych grup pracowników. </w:t>
      </w:r>
      <w:r w:rsidR="00AD56EF" w:rsidRPr="0049379B">
        <w:rPr>
          <w:rStyle w:val="ts-alignment-element"/>
          <w:rFonts w:cstheme="minorHAnsi"/>
          <w:i/>
          <w:iCs/>
          <w:color w:val="000000" w:themeColor="text1"/>
        </w:rPr>
        <w:t>W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arto wykonać pracę nad zmniejszeniem tych luk, bo to zazwyczaj oznacza poprawę jakości doświadczenia nie tylko w</w:t>
      </w:r>
      <w:r w:rsidR="00636D47" w:rsidRPr="0049379B">
        <w:rPr>
          <w:rStyle w:val="ts-alignment-element"/>
          <w:rFonts w:cstheme="minorHAnsi"/>
          <w:i/>
          <w:iCs/>
          <w:color w:val="000000" w:themeColor="text1"/>
        </w:rPr>
        <w:t> 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 xml:space="preserve">marginalizowanych grupach, ale </w:t>
      </w:r>
      <w:r w:rsidR="00E3286A" w:rsidRPr="0049379B">
        <w:rPr>
          <w:rStyle w:val="ts-alignment-element"/>
          <w:rFonts w:cstheme="minorHAnsi"/>
          <w:i/>
          <w:iCs/>
          <w:color w:val="000000" w:themeColor="text1"/>
        </w:rPr>
        <w:t xml:space="preserve">u </w:t>
      </w:r>
      <w:r w:rsidR="008D058F" w:rsidRPr="0049379B">
        <w:rPr>
          <w:rStyle w:val="ts-alignment-element"/>
          <w:rFonts w:cstheme="minorHAnsi"/>
          <w:i/>
          <w:iCs/>
          <w:color w:val="000000" w:themeColor="text1"/>
        </w:rPr>
        <w:t>wszystkich pracowników</w:t>
      </w:r>
      <w:r>
        <w:rPr>
          <w:rStyle w:val="ts-alignment-element"/>
          <w:rFonts w:cstheme="minorHAnsi"/>
          <w:i/>
          <w:iCs/>
          <w:color w:val="000000" w:themeColor="text1"/>
        </w:rPr>
        <w:t xml:space="preserve">” – </w:t>
      </w:r>
      <w:r w:rsidRPr="00095E5F">
        <w:rPr>
          <w:rStyle w:val="ts-alignment-element"/>
          <w:rFonts w:cstheme="minorHAnsi"/>
          <w:color w:val="000000" w:themeColor="text1"/>
        </w:rPr>
        <w:t>mówi</w:t>
      </w:r>
      <w:r>
        <w:rPr>
          <w:rStyle w:val="ts-alignment-element"/>
          <w:rFonts w:cstheme="minorHAnsi"/>
          <w:color w:val="000000" w:themeColor="text1"/>
        </w:rPr>
        <w:t xml:space="preserve"> Marzena Winczo-Gasik, szef zespołu Culture Audit w Great Place to Work® w Polsce.</w:t>
      </w:r>
      <w:r w:rsidRPr="00095E5F">
        <w:rPr>
          <w:rStyle w:val="ts-alignment-element"/>
          <w:rFonts w:cstheme="minorHAnsi"/>
          <w:color w:val="000000" w:themeColor="text1"/>
        </w:rPr>
        <w:t xml:space="preserve"> </w:t>
      </w:r>
      <w:r w:rsidR="00E3286A" w:rsidRPr="00095E5F">
        <w:rPr>
          <w:rStyle w:val="ts-alignment-element"/>
          <w:rFonts w:cstheme="minorHAnsi"/>
          <w:color w:val="000000" w:themeColor="text1"/>
        </w:rPr>
        <w:t xml:space="preserve"> </w:t>
      </w:r>
    </w:p>
    <w:bookmarkEnd w:id="1"/>
    <w:p w14:paraId="4FF26339" w14:textId="7EFD60B3" w:rsidR="00EA70C7" w:rsidRPr="00A02CE3" w:rsidRDefault="00E3286A" w:rsidP="003756E5">
      <w:pPr>
        <w:jc w:val="both"/>
        <w:rPr>
          <w:rStyle w:val="ts-alignment-element"/>
          <w:rFonts w:cstheme="minorHAnsi"/>
          <w:color w:val="000000" w:themeColor="text1"/>
        </w:rPr>
      </w:pPr>
      <w:r w:rsidRPr="00636D47">
        <w:rPr>
          <w:rStyle w:val="ts-alignment-element"/>
          <w:rFonts w:cstheme="minorHAnsi"/>
          <w:color w:val="000000" w:themeColor="text1"/>
        </w:rPr>
        <w:t>Budowanie</w:t>
      </w:r>
      <w:r w:rsidRPr="00636D47">
        <w:rPr>
          <w:rFonts w:cstheme="minorHAnsi"/>
          <w:color w:val="000000" w:themeColor="text1"/>
        </w:rPr>
        <w:t xml:space="preserve"> </w:t>
      </w:r>
      <w:r w:rsidR="00DA013B" w:rsidRPr="00636D47">
        <w:rPr>
          <w:rFonts w:cstheme="minorHAnsi"/>
          <w:color w:val="000000" w:themeColor="text1"/>
        </w:rPr>
        <w:t xml:space="preserve">pozytywnych </w:t>
      </w:r>
      <w:r w:rsidRPr="00636D47">
        <w:rPr>
          <w:rStyle w:val="ts-alignment-element"/>
          <w:rFonts w:cstheme="minorHAnsi"/>
          <w:color w:val="000000" w:themeColor="text1"/>
        </w:rPr>
        <w:t>doświadcze</w:t>
      </w:r>
      <w:r w:rsidR="00DA013B" w:rsidRPr="00636D47">
        <w:rPr>
          <w:rStyle w:val="ts-alignment-element"/>
          <w:rFonts w:cstheme="minorHAnsi"/>
          <w:color w:val="000000" w:themeColor="text1"/>
        </w:rPr>
        <w:t>ń</w:t>
      </w:r>
      <w:r w:rsidRPr="00636D47">
        <w:rPr>
          <w:rStyle w:val="ts-alignment-element"/>
          <w:rFonts w:cstheme="minorHAnsi"/>
          <w:color w:val="000000" w:themeColor="text1"/>
        </w:rPr>
        <w:t>,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które</w:t>
      </w:r>
      <w:r w:rsidRPr="00636D47">
        <w:rPr>
          <w:rFonts w:cstheme="minorHAnsi"/>
          <w:color w:val="000000" w:themeColor="text1"/>
        </w:rPr>
        <w:t xml:space="preserve"> </w:t>
      </w:r>
      <w:r w:rsidR="00DA013B" w:rsidRPr="00636D47">
        <w:rPr>
          <w:rStyle w:val="ts-alignment-element"/>
          <w:rFonts w:cstheme="minorHAnsi"/>
          <w:color w:val="000000" w:themeColor="text1"/>
        </w:rPr>
        <w:t>są udziałem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wszystkich</w:t>
      </w:r>
      <w:r w:rsidR="00DA013B" w:rsidRPr="00636D47">
        <w:rPr>
          <w:rStyle w:val="ts-alignment-element"/>
          <w:rFonts w:cstheme="minorHAnsi"/>
          <w:color w:val="000000" w:themeColor="text1"/>
        </w:rPr>
        <w:t xml:space="preserve"> pracowników</w:t>
      </w:r>
      <w:r w:rsidRPr="00636D47">
        <w:rPr>
          <w:rStyle w:val="ts-alignment-element"/>
          <w:rFonts w:cstheme="minorHAnsi"/>
          <w:color w:val="000000" w:themeColor="text1"/>
        </w:rPr>
        <w:t>,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jest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tak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istotne,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że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spójność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doświadczeń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między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grupami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demograficznymi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jest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jednym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z</w:t>
      </w:r>
      <w:r w:rsidRPr="00636D47">
        <w:rPr>
          <w:rFonts w:cstheme="minorHAnsi"/>
          <w:color w:val="000000" w:themeColor="text1"/>
        </w:rPr>
        <w:t xml:space="preserve"> </w:t>
      </w:r>
      <w:r w:rsidR="00DA013B" w:rsidRPr="00636D47">
        <w:rPr>
          <w:rFonts w:cstheme="minorHAnsi"/>
          <w:color w:val="000000" w:themeColor="text1"/>
        </w:rPr>
        <w:t xml:space="preserve">kluczowych </w:t>
      </w:r>
      <w:r w:rsidRPr="00636D47">
        <w:rPr>
          <w:rStyle w:val="ts-alignment-element"/>
          <w:rFonts w:cstheme="minorHAnsi"/>
          <w:color w:val="000000" w:themeColor="text1"/>
        </w:rPr>
        <w:t>kryteriów,</w:t>
      </w:r>
      <w:r w:rsidRPr="00636D47">
        <w:rPr>
          <w:rFonts w:cstheme="minorHAnsi"/>
          <w:color w:val="000000" w:themeColor="text1"/>
        </w:rPr>
        <w:t xml:space="preserve"> </w:t>
      </w:r>
      <w:r w:rsidR="00DA013B" w:rsidRPr="00636D47">
        <w:rPr>
          <w:rFonts w:cstheme="minorHAnsi"/>
          <w:color w:val="000000" w:themeColor="text1"/>
        </w:rPr>
        <w:t xml:space="preserve">kwalifikowania firm </w:t>
      </w:r>
      <w:r w:rsidR="00BA3591" w:rsidRPr="00636D47">
        <w:rPr>
          <w:rStyle w:val="ts-alignment-element"/>
          <w:rFonts w:cstheme="minorHAnsi"/>
          <w:color w:val="000000" w:themeColor="text1"/>
        </w:rPr>
        <w:t>na</w:t>
      </w:r>
      <w:r w:rsidR="00DA013B" w:rsidRPr="00636D47">
        <w:rPr>
          <w:rStyle w:val="ts-alignment-element"/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listy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najlepszych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miejsc</w:t>
      </w:r>
      <w:r w:rsidRPr="00636D47">
        <w:rPr>
          <w:rFonts w:cstheme="minorHAnsi"/>
          <w:color w:val="000000" w:themeColor="text1"/>
        </w:rPr>
        <w:t xml:space="preserve"> </w:t>
      </w:r>
      <w:r w:rsidRPr="00636D47">
        <w:rPr>
          <w:rStyle w:val="ts-alignment-element"/>
          <w:rFonts w:cstheme="minorHAnsi"/>
          <w:color w:val="000000" w:themeColor="text1"/>
        </w:rPr>
        <w:t>pracy</w:t>
      </w:r>
      <w:r w:rsidR="00DA013B" w:rsidRPr="00636D47">
        <w:rPr>
          <w:rStyle w:val="ts-alignment-element"/>
          <w:rFonts w:cstheme="minorHAnsi"/>
          <w:color w:val="000000" w:themeColor="text1"/>
        </w:rPr>
        <w:t xml:space="preserve"> Great Place to Work</w:t>
      </w:r>
      <w:r w:rsidR="00DA013B" w:rsidRPr="00636D47">
        <w:rPr>
          <w:rStyle w:val="ts-alignment-element"/>
          <w:rFonts w:cstheme="minorHAnsi"/>
          <w:color w:val="000000" w:themeColor="text1"/>
          <w:vertAlign w:val="superscript"/>
        </w:rPr>
        <w:t>®</w:t>
      </w:r>
      <w:r w:rsidRPr="00636D47">
        <w:rPr>
          <w:rStyle w:val="ts-alignment-element"/>
          <w:rFonts w:cstheme="minorHAnsi"/>
          <w:color w:val="000000" w:themeColor="text1"/>
        </w:rPr>
        <w:t>.</w:t>
      </w:r>
      <w:r w:rsidRPr="00636D47">
        <w:rPr>
          <w:rFonts w:cstheme="minorHAnsi"/>
          <w:color w:val="000000" w:themeColor="text1"/>
        </w:rPr>
        <w:t xml:space="preserve"> </w:t>
      </w:r>
      <w:r w:rsidR="00BA3591" w:rsidRPr="00A02CE3">
        <w:rPr>
          <w:rFonts w:cstheme="minorHAnsi"/>
          <w:color w:val="000000" w:themeColor="text1"/>
        </w:rPr>
        <w:t xml:space="preserve">Miejsce pracy, w którym tylko </w:t>
      </w:r>
      <w:r w:rsidR="00BC70D4" w:rsidRPr="00A02CE3">
        <w:rPr>
          <w:rFonts w:cstheme="minorHAnsi"/>
          <w:color w:val="000000" w:themeColor="text1"/>
        </w:rPr>
        <w:t>wybrani</w:t>
      </w:r>
      <w:r w:rsidR="00A02CE3" w:rsidRPr="00A02CE3">
        <w:rPr>
          <w:rFonts w:cstheme="minorHAnsi"/>
          <w:color w:val="000000" w:themeColor="text1"/>
        </w:rPr>
        <w:t xml:space="preserve"> – </w:t>
      </w:r>
      <w:r w:rsidR="00BC70D4" w:rsidRPr="00A02CE3">
        <w:rPr>
          <w:rFonts w:cstheme="minorHAnsi"/>
          <w:color w:val="000000" w:themeColor="text1"/>
        </w:rPr>
        <w:t>choćby stanowili większość</w:t>
      </w:r>
      <w:r w:rsidR="00A02CE3" w:rsidRPr="00A02CE3">
        <w:rPr>
          <w:rFonts w:cstheme="minorHAnsi"/>
          <w:color w:val="000000" w:themeColor="text1"/>
        </w:rPr>
        <w:t xml:space="preserve"> – </w:t>
      </w:r>
      <w:r w:rsidR="00BA3591" w:rsidRPr="00A02CE3">
        <w:rPr>
          <w:rFonts w:cstheme="minorHAnsi"/>
          <w:color w:val="000000" w:themeColor="text1"/>
        </w:rPr>
        <w:t>mają się świetnie, nie jest świetnym miejscem</w:t>
      </w:r>
      <w:r w:rsidR="00BC70D4" w:rsidRPr="00A02CE3">
        <w:rPr>
          <w:rFonts w:cstheme="minorHAnsi"/>
          <w:color w:val="000000" w:themeColor="text1"/>
        </w:rPr>
        <w:t xml:space="preserve"> pracy.</w:t>
      </w:r>
      <w:r w:rsidR="00194C0A" w:rsidRPr="00A02CE3">
        <w:rPr>
          <w:rFonts w:cstheme="minorHAnsi"/>
          <w:color w:val="000000" w:themeColor="text1"/>
        </w:rPr>
        <w:t xml:space="preserve"> </w:t>
      </w:r>
    </w:p>
    <w:p w14:paraId="668D86AB" w14:textId="4506806F" w:rsidR="00794F17" w:rsidRDefault="004344BA" w:rsidP="003756E5">
      <w:pPr>
        <w:jc w:val="both"/>
      </w:pPr>
      <w:r w:rsidRPr="00636D47">
        <w:rPr>
          <w:color w:val="000000" w:themeColor="text1"/>
        </w:rPr>
        <w:t xml:space="preserve">Sama polityka różnorodności i </w:t>
      </w:r>
      <w:r w:rsidR="00552C64" w:rsidRPr="00636D47">
        <w:rPr>
          <w:color w:val="000000" w:themeColor="text1"/>
        </w:rPr>
        <w:t>włączania</w:t>
      </w:r>
      <w:r w:rsidRPr="00636D47">
        <w:rPr>
          <w:color w:val="000000" w:themeColor="text1"/>
        </w:rPr>
        <w:t xml:space="preserve">, czerpiąc z potencjału, który wnoszą do firmy pracownicy często zróżnicowani pod każdym względem, zakłada, że firma uwzględnia w swojej strategii ryzyko. </w:t>
      </w:r>
      <w:r w:rsidR="00EB4C83" w:rsidRPr="00636D47">
        <w:rPr>
          <w:color w:val="000000" w:themeColor="text1"/>
        </w:rPr>
        <w:lastRenderedPageBreak/>
        <w:t>Z</w:t>
      </w:r>
      <w:r w:rsidR="00636D47">
        <w:rPr>
          <w:color w:val="000000" w:themeColor="text1"/>
        </w:rPr>
        <w:t> </w:t>
      </w:r>
      <w:r w:rsidR="00EB4C83" w:rsidRPr="00636D47">
        <w:rPr>
          <w:color w:val="000000" w:themeColor="text1"/>
        </w:rPr>
        <w:t xml:space="preserve">perspektywy menedżera </w:t>
      </w:r>
      <w:r w:rsidR="00163595" w:rsidRPr="00636D47">
        <w:rPr>
          <w:color w:val="000000" w:themeColor="text1"/>
        </w:rPr>
        <w:t xml:space="preserve">takim ryzykiem jest także obdarzenie pracowników zaufaniem. </w:t>
      </w:r>
      <w:r w:rsidRPr="00636D47">
        <w:rPr>
          <w:color w:val="000000" w:themeColor="text1"/>
        </w:rPr>
        <w:t>Firmy, które obawiają się podejmowania ryzyka są zazwyczaj albo w ogóle niechętne polityce różnorodności i</w:t>
      </w:r>
      <w:r w:rsidR="00636D47">
        <w:rPr>
          <w:color w:val="000000" w:themeColor="text1"/>
        </w:rPr>
        <w:t> </w:t>
      </w:r>
      <w:r w:rsidR="00552C64" w:rsidRPr="00636D47">
        <w:rPr>
          <w:color w:val="000000" w:themeColor="text1"/>
        </w:rPr>
        <w:t>włączania</w:t>
      </w:r>
      <w:r w:rsidRPr="00636D47">
        <w:rPr>
          <w:color w:val="000000" w:themeColor="text1"/>
        </w:rPr>
        <w:t>, albo ta polityka pozostaje u nich jedynie w sferze deklaracji</w:t>
      </w:r>
      <w:r w:rsidR="00B76E98" w:rsidRPr="00636D47">
        <w:rPr>
          <w:color w:val="000000" w:themeColor="text1"/>
        </w:rPr>
        <w:t xml:space="preserve"> lub </w:t>
      </w:r>
      <w:r w:rsidR="00552C64" w:rsidRPr="00636D47">
        <w:rPr>
          <w:color w:val="000000" w:themeColor="text1"/>
        </w:rPr>
        <w:t xml:space="preserve">wręcz </w:t>
      </w:r>
      <w:r w:rsidR="00B76E98" w:rsidRPr="00636D47">
        <w:rPr>
          <w:color w:val="000000" w:themeColor="text1"/>
        </w:rPr>
        <w:t>tokenizmu.</w:t>
      </w:r>
      <w:r w:rsidRPr="00636D47">
        <w:rPr>
          <w:color w:val="000000" w:themeColor="text1"/>
        </w:rPr>
        <w:t xml:space="preserve"> Wszyscy eksperci są jednak zgodni, że to właśnie gotowość do podejmowania ryzyka jest dla firmy szansą na </w:t>
      </w:r>
      <w:r>
        <w:t xml:space="preserve">osiągnięcie sukcesu w niezwykle konkurencyjnym otoczeniu. </w:t>
      </w:r>
      <w:r w:rsidR="009F0583">
        <w:t xml:space="preserve">Najlepsze </w:t>
      </w:r>
      <w:r>
        <w:t xml:space="preserve">miejsca pracy </w:t>
      </w:r>
      <w:r w:rsidR="00194C0A">
        <w:t>pokazują w</w:t>
      </w:r>
      <w:r w:rsidR="00636D47">
        <w:t> </w:t>
      </w:r>
      <w:r w:rsidR="00194C0A">
        <w:t>praktyce, że są</w:t>
      </w:r>
      <w:r>
        <w:t xml:space="preserve"> n</w:t>
      </w:r>
      <w:r w:rsidR="006619AD">
        <w:t>a</w:t>
      </w:r>
      <w:r>
        <w:t xml:space="preserve"> t</w:t>
      </w:r>
      <w:r w:rsidR="006619AD">
        <w:t>o</w:t>
      </w:r>
      <w:r>
        <w:t xml:space="preserve"> gotowe</w:t>
      </w:r>
      <w:r w:rsidR="00B76E98">
        <w:t>.</w:t>
      </w:r>
    </w:p>
    <w:p w14:paraId="20FDDA86" w14:textId="0FFB4F20" w:rsidR="00C1547E" w:rsidRPr="00AD7C19" w:rsidRDefault="00B76E98" w:rsidP="002E4C57">
      <w:pPr>
        <w:pBdr>
          <w:bottom w:val="single" w:sz="4" w:space="1" w:color="auto"/>
        </w:pBdr>
        <w:shd w:val="clear" w:color="auto" w:fill="FFFFFF"/>
        <w:spacing w:after="240" w:line="240" w:lineRule="auto"/>
        <w:ind w:left="-142"/>
        <w:rPr>
          <w:rFonts w:eastAsia="Times New Roman" w:cstheme="minorHAnsi"/>
          <w:color w:val="000000"/>
          <w:lang w:eastAsia="pl-PL"/>
        </w:rPr>
      </w:pPr>
      <w:r>
        <w:t xml:space="preserve"> </w:t>
      </w:r>
    </w:p>
    <w:p w14:paraId="551187BA" w14:textId="77777777" w:rsidR="00D0464C" w:rsidRPr="00AD7C19" w:rsidRDefault="00D0464C" w:rsidP="002E4C57">
      <w:pPr>
        <w:pBdr>
          <w:bottom w:val="single" w:sz="4" w:space="1" w:color="auto"/>
        </w:pBdr>
        <w:shd w:val="clear" w:color="auto" w:fill="FFFFFF"/>
        <w:spacing w:after="240" w:line="240" w:lineRule="auto"/>
        <w:ind w:left="-142"/>
        <w:rPr>
          <w:rFonts w:eastAsia="Times New Roman" w:cstheme="minorHAnsi"/>
          <w:color w:val="000000"/>
          <w:lang w:eastAsia="pl-PL"/>
        </w:rPr>
      </w:pPr>
    </w:p>
    <w:p w14:paraId="68B1FEB0" w14:textId="77777777" w:rsidR="00D0464C" w:rsidRPr="0051760E" w:rsidRDefault="002E4C57" w:rsidP="00D0464C">
      <w:pPr>
        <w:shd w:val="clear" w:color="auto" w:fill="FFFFFF"/>
        <w:spacing w:after="240" w:line="240" w:lineRule="auto"/>
        <w:ind w:left="1170" w:hanging="1170"/>
        <w:rPr>
          <w:rFonts w:eastAsia="Times New Roman" w:cstheme="minorHAnsi"/>
          <w:color w:val="000000"/>
          <w:sz w:val="20"/>
          <w:szCs w:val="20"/>
          <w:lang w:val="en-US" w:eastAsia="pl-PL"/>
        </w:rPr>
      </w:pPr>
      <w:r w:rsidRPr="0051760E">
        <w:rPr>
          <w:rFonts w:eastAsia="Times New Roman" w:cstheme="minorHAnsi"/>
          <w:color w:val="000000"/>
          <w:sz w:val="20"/>
          <w:szCs w:val="20"/>
          <w:lang w:val="en-US" w:eastAsia="pl-PL"/>
        </w:rPr>
        <w:t>Więcej informacji</w:t>
      </w:r>
      <w:r w:rsidR="00D0464C" w:rsidRPr="0051760E">
        <w:rPr>
          <w:rFonts w:eastAsia="Times New Roman" w:cstheme="minorHAnsi"/>
          <w:color w:val="000000"/>
          <w:sz w:val="20"/>
          <w:szCs w:val="20"/>
          <w:lang w:val="en-US" w:eastAsia="pl-PL"/>
        </w:rPr>
        <w:t>:</w:t>
      </w:r>
      <w:bookmarkStart w:id="2" w:name="_Hlk12532785"/>
    </w:p>
    <w:p w14:paraId="723B4C59" w14:textId="674C1413" w:rsidR="00D0464C" w:rsidRDefault="00D0464C" w:rsidP="00D0464C">
      <w:pPr>
        <w:shd w:val="clear" w:color="auto" w:fill="FFFFFF"/>
        <w:spacing w:after="240" w:line="240" w:lineRule="auto"/>
        <w:rPr>
          <w:rStyle w:val="Hipercze"/>
          <w:rFonts w:cstheme="minorHAnsi"/>
          <w:sz w:val="20"/>
          <w:szCs w:val="20"/>
          <w:lang w:val="en-US"/>
        </w:rPr>
      </w:pPr>
      <w:r w:rsidRPr="00A238BF">
        <w:rPr>
          <w:rFonts w:cstheme="minorHAnsi"/>
          <w:sz w:val="20"/>
          <w:szCs w:val="20"/>
          <w:lang w:val="en-US"/>
        </w:rPr>
        <w:t xml:space="preserve">Joanna Kowalczuk, Be Communications, Head of Strategy Development, tel. 603 981 872, e-mail: </w:t>
      </w:r>
      <w:r>
        <w:rPr>
          <w:rFonts w:cstheme="minorHAnsi"/>
          <w:sz w:val="20"/>
          <w:szCs w:val="20"/>
          <w:lang w:val="en-US"/>
        </w:rPr>
        <w:t xml:space="preserve"> </w:t>
      </w:r>
      <w:bookmarkEnd w:id="2"/>
      <w:r>
        <w:rPr>
          <w:rFonts w:cstheme="minorHAnsi"/>
          <w:sz w:val="20"/>
          <w:szCs w:val="20"/>
          <w:lang w:val="en-US"/>
        </w:rPr>
        <w:t>j.kowalczuk@becomms.pl</w:t>
      </w:r>
    </w:p>
    <w:p w14:paraId="65E16819" w14:textId="77777777" w:rsidR="0092395C" w:rsidRDefault="00D0464C" w:rsidP="0092395C">
      <w:pPr>
        <w:spacing w:after="120"/>
        <w:jc w:val="both"/>
        <w:rPr>
          <w:rStyle w:val="Hipercze"/>
          <w:rFonts w:cstheme="minorHAnsi"/>
          <w:sz w:val="20"/>
          <w:szCs w:val="20"/>
        </w:rPr>
      </w:pPr>
      <w:r w:rsidRPr="00A238BF">
        <w:rPr>
          <w:rFonts w:cstheme="minorHAnsi"/>
          <w:sz w:val="20"/>
          <w:szCs w:val="20"/>
        </w:rPr>
        <w:t xml:space="preserve">Marzena Winczo-Gasik, Great Place to Work ® w Polsce, szef Zespołu Culture Audit, menedżer ds. komunikacji, tel. 500 188 814, e-mail: </w:t>
      </w:r>
      <w:hyperlink r:id="rId7" w:history="1">
        <w:r w:rsidRPr="00A33940">
          <w:rPr>
            <w:rStyle w:val="Hipercze"/>
            <w:rFonts w:cstheme="minorHAnsi"/>
            <w:sz w:val="20"/>
            <w:szCs w:val="20"/>
          </w:rPr>
          <w:t>marzena.winczo@greatplacetowork.com</w:t>
        </w:r>
      </w:hyperlink>
      <w:bookmarkEnd w:id="0"/>
    </w:p>
    <w:p w14:paraId="3770D58F" w14:textId="3606882D" w:rsidR="00D20EB9" w:rsidRDefault="00D20EB9" w:rsidP="00D20EB9">
      <w:pPr>
        <w:shd w:val="clear" w:color="auto" w:fill="FFFFFF"/>
        <w:spacing w:after="0" w:line="240" w:lineRule="auto"/>
        <w:rPr>
          <w:rFonts w:eastAsia="Times New Roman" w:cstheme="minorHAnsi"/>
          <w:color w:val="5C6066"/>
          <w:spacing w:val="-3"/>
          <w:lang w:eastAsia="pl-PL"/>
        </w:rPr>
      </w:pPr>
    </w:p>
    <w:p w14:paraId="0B0BB465" w14:textId="132E3566" w:rsidR="00AD7C19" w:rsidRPr="00636D47" w:rsidRDefault="00AD7C19" w:rsidP="00AD7C19">
      <w:pPr>
        <w:jc w:val="both"/>
        <w:rPr>
          <w:rFonts w:cstheme="minorHAnsi"/>
          <w:color w:val="000000" w:themeColor="text1"/>
        </w:rPr>
      </w:pPr>
    </w:p>
    <w:p w14:paraId="33A2F15A" w14:textId="77777777" w:rsidR="00AD7C19" w:rsidRPr="00DC4247" w:rsidRDefault="00AD7C19" w:rsidP="00D20EB9">
      <w:pPr>
        <w:shd w:val="clear" w:color="auto" w:fill="FFFFFF"/>
        <w:spacing w:after="0" w:line="240" w:lineRule="auto"/>
        <w:rPr>
          <w:rFonts w:eastAsia="Times New Roman" w:cstheme="minorHAnsi"/>
          <w:color w:val="5C6066"/>
          <w:spacing w:val="-3"/>
          <w:lang w:eastAsia="pl-PL"/>
        </w:rPr>
      </w:pPr>
    </w:p>
    <w:sectPr w:rsidR="00AD7C19" w:rsidRPr="00DC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7A77"/>
    <w:multiLevelType w:val="multilevel"/>
    <w:tmpl w:val="E22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A4BB0"/>
    <w:multiLevelType w:val="multilevel"/>
    <w:tmpl w:val="C26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51FB3"/>
    <w:multiLevelType w:val="multilevel"/>
    <w:tmpl w:val="90C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F9"/>
    <w:rsid w:val="000438B8"/>
    <w:rsid w:val="00044FDE"/>
    <w:rsid w:val="00095E5F"/>
    <w:rsid w:val="000A6AAE"/>
    <w:rsid w:val="000B0AA7"/>
    <w:rsid w:val="000B59CA"/>
    <w:rsid w:val="000D12A9"/>
    <w:rsid w:val="000F0605"/>
    <w:rsid w:val="000F375E"/>
    <w:rsid w:val="00114B5A"/>
    <w:rsid w:val="00153748"/>
    <w:rsid w:val="00154A58"/>
    <w:rsid w:val="00163595"/>
    <w:rsid w:val="00173731"/>
    <w:rsid w:val="00194C0A"/>
    <w:rsid w:val="001B5293"/>
    <w:rsid w:val="001B7E94"/>
    <w:rsid w:val="001E1181"/>
    <w:rsid w:val="001E4E34"/>
    <w:rsid w:val="0020309C"/>
    <w:rsid w:val="00246E8C"/>
    <w:rsid w:val="00256081"/>
    <w:rsid w:val="00267BEE"/>
    <w:rsid w:val="00282D04"/>
    <w:rsid w:val="0029508B"/>
    <w:rsid w:val="002962C1"/>
    <w:rsid w:val="002E1644"/>
    <w:rsid w:val="002E4C57"/>
    <w:rsid w:val="002F6DFD"/>
    <w:rsid w:val="003579AA"/>
    <w:rsid w:val="00372CDF"/>
    <w:rsid w:val="003756E5"/>
    <w:rsid w:val="003B6423"/>
    <w:rsid w:val="003E2438"/>
    <w:rsid w:val="00412DB2"/>
    <w:rsid w:val="0041615F"/>
    <w:rsid w:val="004344BA"/>
    <w:rsid w:val="0044679E"/>
    <w:rsid w:val="0049379B"/>
    <w:rsid w:val="004A2F1F"/>
    <w:rsid w:val="004A3EB0"/>
    <w:rsid w:val="004B75C5"/>
    <w:rsid w:val="0051760E"/>
    <w:rsid w:val="00544C08"/>
    <w:rsid w:val="00547CC5"/>
    <w:rsid w:val="00552C64"/>
    <w:rsid w:val="0058557D"/>
    <w:rsid w:val="005A6269"/>
    <w:rsid w:val="00602221"/>
    <w:rsid w:val="0062502D"/>
    <w:rsid w:val="00636D47"/>
    <w:rsid w:val="00657596"/>
    <w:rsid w:val="006619AD"/>
    <w:rsid w:val="00663ABA"/>
    <w:rsid w:val="00663AFC"/>
    <w:rsid w:val="006644E5"/>
    <w:rsid w:val="0067295F"/>
    <w:rsid w:val="006B1A5F"/>
    <w:rsid w:val="006C0F2D"/>
    <w:rsid w:val="00794F17"/>
    <w:rsid w:val="00795169"/>
    <w:rsid w:val="007A1003"/>
    <w:rsid w:val="007C5B83"/>
    <w:rsid w:val="007F4E4A"/>
    <w:rsid w:val="008023B2"/>
    <w:rsid w:val="008063EC"/>
    <w:rsid w:val="00834379"/>
    <w:rsid w:val="00885D73"/>
    <w:rsid w:val="00896D57"/>
    <w:rsid w:val="008B3FB3"/>
    <w:rsid w:val="008D058F"/>
    <w:rsid w:val="008D5550"/>
    <w:rsid w:val="008E6C2B"/>
    <w:rsid w:val="008F60C7"/>
    <w:rsid w:val="0092395C"/>
    <w:rsid w:val="009A4949"/>
    <w:rsid w:val="009E538E"/>
    <w:rsid w:val="009F0583"/>
    <w:rsid w:val="009F603A"/>
    <w:rsid w:val="00A02CE3"/>
    <w:rsid w:val="00A07F01"/>
    <w:rsid w:val="00A73667"/>
    <w:rsid w:val="00A95860"/>
    <w:rsid w:val="00AA33F8"/>
    <w:rsid w:val="00AD56EF"/>
    <w:rsid w:val="00AD7C19"/>
    <w:rsid w:val="00B06BBE"/>
    <w:rsid w:val="00B36B75"/>
    <w:rsid w:val="00B43CB1"/>
    <w:rsid w:val="00B76E98"/>
    <w:rsid w:val="00BA3591"/>
    <w:rsid w:val="00BB5C37"/>
    <w:rsid w:val="00BC70D4"/>
    <w:rsid w:val="00C1547E"/>
    <w:rsid w:val="00C52DBF"/>
    <w:rsid w:val="00C579AA"/>
    <w:rsid w:val="00C86C94"/>
    <w:rsid w:val="00CD1013"/>
    <w:rsid w:val="00D01DCF"/>
    <w:rsid w:val="00D0464C"/>
    <w:rsid w:val="00D20EB9"/>
    <w:rsid w:val="00D25449"/>
    <w:rsid w:val="00D3595F"/>
    <w:rsid w:val="00D363BB"/>
    <w:rsid w:val="00D8468C"/>
    <w:rsid w:val="00D93FE0"/>
    <w:rsid w:val="00DA013B"/>
    <w:rsid w:val="00DB3C99"/>
    <w:rsid w:val="00DC4247"/>
    <w:rsid w:val="00E07AED"/>
    <w:rsid w:val="00E3286A"/>
    <w:rsid w:val="00E366E5"/>
    <w:rsid w:val="00EA70C7"/>
    <w:rsid w:val="00EB4C83"/>
    <w:rsid w:val="00EE50F9"/>
    <w:rsid w:val="00F30318"/>
    <w:rsid w:val="00F30735"/>
    <w:rsid w:val="00F94D0F"/>
    <w:rsid w:val="00FD1DD4"/>
    <w:rsid w:val="00FE06E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295"/>
  <w15:chartTrackingRefBased/>
  <w15:docId w15:val="{A2A59E02-9A2B-43FB-B0B5-87A4FA3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5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6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6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0E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5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02D"/>
    <w:rPr>
      <w:b/>
      <w:bCs/>
      <w:sz w:val="20"/>
      <w:szCs w:val="20"/>
    </w:rPr>
  </w:style>
  <w:style w:type="character" w:customStyle="1" w:styleId="ts-alignment-element">
    <w:name w:val="ts-alignment-element"/>
    <w:basedOn w:val="Domylnaczcionkaakapitu"/>
    <w:rsid w:val="008D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9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zena.winczo@greatplacetowo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5DAD-AC99-46D4-9C64-C244F191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jkowalczuk</dc:creator>
  <cp:keywords/>
  <dc:description/>
  <cp:lastModifiedBy>jkowalczuk</cp:lastModifiedBy>
  <cp:revision>32</cp:revision>
  <dcterms:created xsi:type="dcterms:W3CDTF">2020-11-22T13:51:00Z</dcterms:created>
  <dcterms:modified xsi:type="dcterms:W3CDTF">2020-12-03T10:45:00Z</dcterms:modified>
</cp:coreProperties>
</file>